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2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spacing w:line="343" w:lineRule="auto"/>
        <w:rPr>
          <w:lang w:eastAsia="zh-CN"/>
        </w:rPr>
      </w:pPr>
    </w:p>
    <w:p>
      <w:pPr>
        <w:spacing w:before="184" w:line="175" w:lineRule="auto"/>
        <w:ind w:left="6544"/>
        <w:outlineLvl w:val="0"/>
        <w:rPr>
          <w:rFonts w:ascii="黑体" w:hAnsi="黑体" w:eastAsia="黑体" w:cs="微软雅黑"/>
          <w:sz w:val="43"/>
          <w:szCs w:val="43"/>
        </w:rPr>
      </w:pPr>
      <w:r>
        <w:rPr>
          <w:rFonts w:ascii="黑体" w:hAnsi="黑体" w:eastAsia="黑体" w:cs="微软雅黑"/>
          <w:spacing w:val="6"/>
          <w:sz w:val="43"/>
          <w:szCs w:val="43"/>
        </w:rPr>
        <w:t>评分标准</w:t>
      </w:r>
    </w:p>
    <w:tbl>
      <w:tblPr>
        <w:tblStyle w:val="5"/>
        <w:tblW w:w="143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410"/>
        <w:gridCol w:w="992"/>
        <w:gridCol w:w="10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51" w:type="dxa"/>
          </w:tcPr>
          <w:p>
            <w:pPr>
              <w:pStyle w:val="4"/>
              <w:spacing w:before="209" w:line="183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>
            <w:pPr>
              <w:pStyle w:val="4"/>
              <w:spacing w:before="209" w:line="183" w:lineRule="auto"/>
              <w:ind w:left="41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pacing w:val="-1"/>
                <w:sz w:val="28"/>
                <w:szCs w:val="28"/>
              </w:rPr>
              <w:t>评分因素及权重</w:t>
            </w:r>
          </w:p>
        </w:tc>
        <w:tc>
          <w:tcPr>
            <w:tcW w:w="992" w:type="dxa"/>
          </w:tcPr>
          <w:p>
            <w:pPr>
              <w:pStyle w:val="4"/>
              <w:spacing w:before="209" w:line="183" w:lineRule="auto"/>
              <w:ind w:left="272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pacing w:val="-2"/>
                <w:sz w:val="28"/>
                <w:szCs w:val="28"/>
              </w:rPr>
              <w:t>分值</w:t>
            </w:r>
          </w:p>
        </w:tc>
        <w:tc>
          <w:tcPr>
            <w:tcW w:w="10064" w:type="dxa"/>
          </w:tcPr>
          <w:p>
            <w:pPr>
              <w:pStyle w:val="4"/>
              <w:spacing w:before="207" w:line="184" w:lineRule="auto"/>
              <w:ind w:left="4102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bCs/>
                <w:spacing w:val="-2"/>
                <w:sz w:val="28"/>
                <w:szCs w:val="28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851" w:type="dxa"/>
            <w:vAlign w:val="center"/>
          </w:tcPr>
          <w:p>
            <w:pPr>
              <w:spacing w:before="63" w:line="189" w:lineRule="auto"/>
              <w:ind w:left="5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pStyle w:val="4"/>
              <w:spacing w:before="94" w:line="222" w:lineRule="auto"/>
              <w:ind w:left="608"/>
            </w:pPr>
            <w:r>
              <w:rPr>
                <w:spacing w:val="-1"/>
              </w:rPr>
              <w:t>报价（</w:t>
            </w:r>
            <w:r>
              <w:rPr>
                <w:rFonts w:hint="eastAsia" w:ascii="Times New Roman" w:hAnsi="Times New Roman" w:eastAsia="宋体" w:cs="Times New Roman"/>
                <w:spacing w:val="-1"/>
                <w:lang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0%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1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spacing w:before="94" w:line="184" w:lineRule="auto"/>
              <w:ind w:left="267"/>
            </w:pP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0 </w:t>
            </w:r>
            <w:r>
              <w:rPr>
                <w:spacing w:val="-2"/>
              </w:rPr>
              <w:t>分</w:t>
            </w:r>
          </w:p>
        </w:tc>
        <w:tc>
          <w:tcPr>
            <w:tcW w:w="10064" w:type="dxa"/>
          </w:tcPr>
          <w:p>
            <w:pPr>
              <w:pStyle w:val="4"/>
              <w:spacing w:before="158" w:line="344" w:lineRule="auto"/>
              <w:ind w:left="102" w:firstLine="1"/>
              <w:rPr>
                <w:lang w:eastAsia="zh-CN"/>
              </w:rPr>
            </w:pPr>
            <w:r>
              <w:rPr>
                <w:lang w:eastAsia="zh-CN"/>
              </w:rPr>
              <w:t>经比选小组评审的最低有效报价作为评审基准价；报价得分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=</w:t>
            </w:r>
            <w:r>
              <w:rPr>
                <w:lang w:eastAsia="zh-CN"/>
              </w:rPr>
              <w:t>（评审基准价／最后报价）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×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0</w:t>
            </w:r>
            <w:r>
              <w:rPr>
                <w:lang w:eastAsia="zh-CN"/>
              </w:rPr>
              <w:t>，</w:t>
            </w:r>
            <w:r>
              <w:rPr>
                <w:spacing w:val="-2"/>
                <w:lang w:eastAsia="zh-CN"/>
              </w:rPr>
              <w:t xml:space="preserve">最多得 </w:t>
            </w: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 xml:space="preserve">0 </w:t>
            </w:r>
            <w:r>
              <w:rPr>
                <w:spacing w:val="-2"/>
                <w:lang w:eastAsia="zh-CN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851" w:type="dxa"/>
            <w:vAlign w:val="center"/>
          </w:tcPr>
          <w:p>
            <w:pPr>
              <w:spacing w:before="63" w:line="189" w:lineRule="auto"/>
              <w:ind w:left="5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pStyle w:val="4"/>
              <w:spacing w:before="95" w:line="222" w:lineRule="auto"/>
              <w:ind w:left="388"/>
            </w:pPr>
            <w:r>
              <w:rPr>
                <w:spacing w:val="-1"/>
              </w:rPr>
              <w:t>服务方案（</w:t>
            </w:r>
            <w:r>
              <w:rPr>
                <w:rFonts w:hint="eastAsia" w:ascii="Times New Roman" w:hAnsi="Times New Roman" w:eastAsia="宋体" w:cs="Times New Roman"/>
                <w:spacing w:val="-1"/>
                <w:lang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0%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1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spacing w:before="95" w:line="184" w:lineRule="auto"/>
              <w:ind w:left="273"/>
            </w:pPr>
            <w:r>
              <w:rPr>
                <w:rFonts w:hint="eastAsia" w:ascii="Times New Roman" w:hAnsi="Times New Roman" w:eastAsia="宋体" w:cs="Times New Roman"/>
                <w:spacing w:val="-3"/>
                <w:lang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0 </w:t>
            </w:r>
            <w:r>
              <w:rPr>
                <w:spacing w:val="-3"/>
              </w:rPr>
              <w:t>分</w:t>
            </w:r>
          </w:p>
        </w:tc>
        <w:tc>
          <w:tcPr>
            <w:tcW w:w="10064" w:type="dxa"/>
          </w:tcPr>
          <w:p>
            <w:pPr>
              <w:pStyle w:val="4"/>
              <w:spacing w:before="172" w:line="368" w:lineRule="auto"/>
              <w:ind w:left="101" w:right="100"/>
              <w:jc w:val="both"/>
              <w:rPr>
                <w:lang w:eastAsia="zh-CN"/>
              </w:rPr>
            </w:pPr>
            <w:r>
              <w:rPr>
                <w:lang w:eastAsia="zh-CN"/>
              </w:rPr>
              <w:t>依据本次项目定制方案：（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1</w:t>
            </w:r>
            <w:r>
              <w:rPr>
                <w:lang w:eastAsia="zh-CN"/>
              </w:rPr>
              <w:t xml:space="preserve">）项目创意策划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10 </w:t>
            </w:r>
            <w:r>
              <w:rPr>
                <w:lang w:eastAsia="zh-CN"/>
              </w:rPr>
              <w:t>分、（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2</w:t>
            </w:r>
            <w:r>
              <w:rPr>
                <w:lang w:eastAsia="zh-CN"/>
              </w:rPr>
              <w:t xml:space="preserve">）项目实施方案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10 </w:t>
            </w:r>
            <w:r>
              <w:rPr>
                <w:lang w:eastAsia="zh-CN"/>
              </w:rPr>
              <w:t>分、（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3</w:t>
            </w:r>
            <w:r>
              <w:rPr>
                <w:spacing w:val="-1"/>
                <w:lang w:eastAsia="zh-CN"/>
              </w:rPr>
              <w:t>）应急和</w:t>
            </w:r>
            <w:r>
              <w:rPr>
                <w:spacing w:val="1"/>
                <w:lang w:eastAsia="zh-CN"/>
              </w:rPr>
              <w:t xml:space="preserve">后勤保障 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 xml:space="preserve">10 </w:t>
            </w:r>
            <w:r>
              <w:rPr>
                <w:spacing w:val="1"/>
                <w:lang w:eastAsia="zh-CN"/>
              </w:rPr>
              <w:t>分、（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>4</w:t>
            </w:r>
            <w:r>
              <w:rPr>
                <w:spacing w:val="1"/>
                <w:lang w:eastAsia="zh-CN"/>
              </w:rPr>
              <w:t xml:space="preserve">）影视服务 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 xml:space="preserve">10 </w:t>
            </w:r>
            <w:r>
              <w:rPr>
                <w:spacing w:val="1"/>
                <w:lang w:eastAsia="zh-CN"/>
              </w:rPr>
              <w:t>分，根据方案的综合性、服务</w:t>
            </w:r>
            <w:r>
              <w:rPr>
                <w:spacing w:val="-1"/>
                <w:lang w:eastAsia="zh-CN"/>
              </w:rPr>
              <w:t xml:space="preserve">性、方案编制详细完整度等进行综合评价。优的得 </w:t>
            </w:r>
            <w:r>
              <w:rPr>
                <w:rFonts w:hint="eastAsia" w:ascii="Times New Roman" w:hAnsi="Times New Roman" w:eastAsia="宋体" w:cs="Times New Roman"/>
                <w:spacing w:val="-1"/>
                <w:lang w:eastAsia="zh-CN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pacing w:val="-1"/>
                <w:lang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0 </w:t>
            </w:r>
            <w:r>
              <w:rPr>
                <w:spacing w:val="-1"/>
                <w:lang w:eastAsia="zh-CN"/>
              </w:rPr>
              <w:t xml:space="preserve">分，良的得 </w:t>
            </w:r>
            <w:r>
              <w:rPr>
                <w:rFonts w:hint="eastAsia" w:ascii="Times New Roman" w:hAnsi="Times New Roman" w:eastAsia="宋体" w:cs="Times New Roman"/>
                <w:spacing w:val="-1"/>
                <w:lang w:eastAsia="zh-CN"/>
              </w:rPr>
              <w:t>31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pacing w:val="-1"/>
                <w:lang w:eastAsia="zh-CN"/>
              </w:rPr>
              <w:t>35</w:t>
            </w:r>
            <w:r>
              <w:rPr>
                <w:spacing w:val="-1"/>
                <w:lang w:eastAsia="zh-CN"/>
              </w:rPr>
              <w:t xml:space="preserve">分，合格的得 </w:t>
            </w:r>
            <w:r>
              <w:rPr>
                <w:rFonts w:hint="eastAsia" w:ascii="Times New Roman" w:hAnsi="Times New Roman" w:eastAsia="宋体" w:cs="Times New Roman"/>
                <w:spacing w:val="-1"/>
                <w:lang w:eastAsia="zh-CN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-3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0 </w:t>
            </w:r>
            <w:r>
              <w:rPr>
                <w:lang w:eastAsia="zh-CN"/>
              </w:rPr>
              <w:t>分。出现方案不详尽，表述不清楚可视为较差，酌情减</w:t>
            </w:r>
            <w:r>
              <w:rPr>
                <w:spacing w:val="-1"/>
                <w:lang w:eastAsia="zh-CN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851" w:type="dxa"/>
            <w:vAlign w:val="center"/>
          </w:tcPr>
          <w:p>
            <w:pPr>
              <w:spacing w:before="64" w:line="189" w:lineRule="auto"/>
              <w:ind w:left="5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pStyle w:val="4"/>
              <w:spacing w:before="95" w:line="222" w:lineRule="auto"/>
              <w:ind w:left="388"/>
            </w:pPr>
            <w:r>
              <w:rPr>
                <w:spacing w:val="-1"/>
              </w:rPr>
              <w:t>履约经验（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20%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1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spacing w:before="94" w:line="184" w:lineRule="auto"/>
              <w:ind w:left="267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 </w:t>
            </w:r>
            <w:r>
              <w:rPr>
                <w:spacing w:val="-2"/>
              </w:rPr>
              <w:t>分</w:t>
            </w:r>
          </w:p>
        </w:tc>
        <w:tc>
          <w:tcPr>
            <w:tcW w:w="10064" w:type="dxa"/>
          </w:tcPr>
          <w:p>
            <w:pPr>
              <w:pStyle w:val="4"/>
              <w:spacing w:before="94" w:line="184" w:lineRule="auto"/>
              <w:ind w:lef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 xml:space="preserve">根据投标单位已完成的相关业绩进行打分，一个业绩得 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 xml:space="preserve">5 </w:t>
            </w:r>
            <w:r>
              <w:rPr>
                <w:spacing w:val="-2"/>
                <w:lang w:eastAsia="zh-CN"/>
              </w:rPr>
              <w:t>分，以提供成功案例合同和图片佐证</w:t>
            </w:r>
            <w:r>
              <w:rPr>
                <w:lang w:eastAsia="zh-CN"/>
              </w:rPr>
              <w:t>为准。注：综合该企业往期成功案例、活动规模、</w:t>
            </w:r>
            <w:r>
              <w:rPr>
                <w:spacing w:val="-1"/>
                <w:lang w:eastAsia="zh-CN"/>
              </w:rPr>
              <w:t xml:space="preserve">活动效果酌情给分，最高不超过 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20 </w:t>
            </w:r>
            <w:r>
              <w:rPr>
                <w:spacing w:val="-1"/>
                <w:lang w:eastAsia="zh-CN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51" w:type="dxa"/>
            <w:vAlign w:val="center"/>
          </w:tcPr>
          <w:p>
            <w:pPr>
              <w:spacing w:before="63" w:line="189" w:lineRule="auto"/>
              <w:ind w:left="5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pStyle w:val="4"/>
              <w:spacing w:before="94" w:line="222" w:lineRule="auto"/>
              <w:ind w:left="388"/>
            </w:pPr>
            <w:r>
              <w:rPr>
                <w:spacing w:val="-1"/>
              </w:rPr>
              <w:t>服务承诺（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10%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1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spacing w:before="94" w:line="184" w:lineRule="auto"/>
              <w:ind w:left="288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</w:t>
            </w:r>
            <w:r>
              <w:rPr>
                <w:spacing w:val="-10"/>
              </w:rPr>
              <w:t>分</w:t>
            </w:r>
          </w:p>
        </w:tc>
        <w:tc>
          <w:tcPr>
            <w:tcW w:w="10064" w:type="dxa"/>
          </w:tcPr>
          <w:p>
            <w:pPr>
              <w:pStyle w:val="4"/>
              <w:spacing w:before="218" w:line="184" w:lineRule="auto"/>
              <w:ind w:left="100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lang w:eastAsia="zh-CN"/>
              </w:rPr>
              <w:t xml:space="preserve">供应商为本次活动提供专人配套服务，协助业主单位完成相应工作，每个人员加 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2 </w:t>
            </w:r>
            <w:r>
              <w:rPr>
                <w:lang w:eastAsia="zh-CN"/>
              </w:rPr>
              <w:t>分，满</w:t>
            </w:r>
            <w:r>
              <w:rPr>
                <w:spacing w:val="-1"/>
                <w:lang w:eastAsia="zh-CN"/>
              </w:rPr>
              <w:t xml:space="preserve">分 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 xml:space="preserve">0 </w:t>
            </w:r>
            <w:r>
              <w:rPr>
                <w:spacing w:val="-2"/>
                <w:lang w:eastAsia="zh-CN"/>
              </w:rPr>
              <w:t>分。</w:t>
            </w:r>
          </w:p>
        </w:tc>
      </w:tr>
    </w:tbl>
    <w:p>
      <w:pPr>
        <w:rPr>
          <w:lang w:eastAsia="zh-CN"/>
        </w:rPr>
      </w:pPr>
    </w:p>
    <w:p/>
    <w:sectPr>
      <w:footerReference r:id="rId3" w:type="default"/>
      <w:pgSz w:w="16839" w:h="11906"/>
      <w:pgMar w:top="1012" w:right="1439" w:bottom="1213" w:left="1327" w:header="0" w:footer="93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6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  <w:r>
      <w:rPr>
        <w:rFonts w:ascii="Calibri" w:hAnsi="Calibri" w:eastAsia="Calibri" w:cs="Calibri"/>
        <w:spacing w:val="4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4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MjM1ODQ1ZWFlYjUyNmU3YzBmOGY0NWRhMGZlNjkifQ=="/>
  </w:docVars>
  <w:rsids>
    <w:rsidRoot w:val="00172A27"/>
    <w:rsid w:val="43785CF4"/>
    <w:rsid w:val="7C2B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李中品</cp:lastModifiedBy>
  <dcterms:modified xsi:type="dcterms:W3CDTF">2025-11-24T12:02:53Z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5FAC0234056D4E458D0A28EA0F5CC027</vt:lpwstr>
  </property>
</Properties>
</file>