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firstLine="3092" w:firstLineChars="70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报价函</w:t>
      </w:r>
    </w:p>
    <w:p>
      <w:pPr>
        <w:spacing w:line="578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达州市卫生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计生</w:t>
      </w:r>
      <w:r>
        <w:rPr>
          <w:rFonts w:hint="eastAsia" w:ascii="仿宋_GB2312" w:eastAsia="仿宋_GB2312" w:hAnsiTheme="majorEastAsia"/>
          <w:sz w:val="32"/>
          <w:szCs w:val="32"/>
        </w:rPr>
        <w:t>信息中心：</w:t>
      </w:r>
    </w:p>
    <w:p>
      <w:pPr>
        <w:spacing w:line="578" w:lineRule="exac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感谢贵单位对我公司的信赖，我方已仔细阅读了《达州市卫生计生信息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双向检测系统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项目询价采购公告</w:t>
      </w:r>
      <w:r>
        <w:rPr>
          <w:rFonts w:hint="eastAsia" w:ascii="仿宋_GB2312" w:eastAsia="仿宋_GB2312" w:hAnsiTheme="majorEastAsia"/>
          <w:sz w:val="32"/>
          <w:szCs w:val="32"/>
        </w:rPr>
        <w:t>》，我方对询价内容报价见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下表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tbl>
      <w:tblPr>
        <w:tblStyle w:val="5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5"/>
        <w:gridCol w:w="4421"/>
        <w:gridCol w:w="1496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项 目 名 称</w:t>
            </w:r>
          </w:p>
        </w:tc>
        <w:tc>
          <w:tcPr>
            <w:tcW w:w="4421" w:type="dxa"/>
          </w:tcPr>
          <w:p>
            <w:pPr>
              <w:spacing w:line="578" w:lineRule="exact"/>
              <w:jc w:val="center"/>
              <w:rPr>
                <w:rFonts w:hint="default" w:ascii="仿宋_GB2312" w:eastAsia="仿宋_GB2312" w:hAnsiTheme="maj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规格</w:t>
            </w:r>
            <w:r>
              <w:rPr>
                <w:rFonts w:hint="eastAsia" w:ascii="仿宋_GB2312" w:eastAsia="仿宋_GB2312" w:hAnsiTheme="majorEastAsia"/>
                <w:b/>
                <w:sz w:val="32"/>
                <w:szCs w:val="32"/>
                <w:lang w:val="en-US" w:eastAsia="zh-CN"/>
              </w:rPr>
              <w:t>参数、数量</w:t>
            </w:r>
          </w:p>
        </w:tc>
        <w:tc>
          <w:tcPr>
            <w:tcW w:w="1496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单价</w:t>
            </w:r>
          </w:p>
        </w:tc>
        <w:tc>
          <w:tcPr>
            <w:tcW w:w="1251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Align w:val="center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双向检测系统</w:t>
            </w:r>
          </w:p>
        </w:tc>
        <w:tc>
          <w:tcPr>
            <w:tcW w:w="4421" w:type="dxa"/>
          </w:tcPr>
          <w:p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参数：</w:t>
            </w:r>
          </w:p>
          <w:p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1、网络层吞吐量≥6G，应用层吞吐量≥2G,并发连结数≥180万，HTTP新建连接数≥6万；</w:t>
            </w:r>
          </w:p>
          <w:p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2、承载平台要求:内存≥4G，硬盘容量≥64G，接口：≥6个千兆电网口+4千兆光口SFP；</w:t>
            </w:r>
          </w:p>
          <w:p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3、具备静态路由和多播路由，支持RIP、OSPF、BGP等动态路由协议。</w:t>
            </w:r>
          </w:p>
          <w:p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4、为了保证防护的全面性，要求设备必须能够自动发现新增资产并进行资产脆弱性评估，能够自动检测出未配置的安全策略并自动告警，从而提升防护的全面性。</w:t>
            </w:r>
          </w:p>
          <w:p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5、支持SYN Flood、ICMP Flood、UDP Flood、DNS Flood、ARP Flood等泛洪类攻击防护，支持IP地址扫描和端口扫描攻击防护。</w:t>
            </w:r>
          </w:p>
          <w:p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6、具备文件过滤功能，可对视频文件、音频文件、图片文件、文本文件、可执行文件、驱动文件等类型文件进行安全过滤。</w:t>
            </w:r>
          </w:p>
          <w:p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7、为了帮助管理员更好的应对一些突发的热点安全事件，要求设备可提供最新的威胁情报信息，能够对新爆发的流行高危漏洞进行预警和自动检测，发现问题后支持一键生成防护规则。</w:t>
            </w:r>
          </w:p>
          <w:p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8、安全日志支持本地存储、Syslog服务器存储、态势感知平台存储等不同形式存储方式。</w:t>
            </w:r>
          </w:p>
          <w:p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9、支持内容敏感数据防泄露功能，对传输的文件和内容进行检测,支持对银行卡号、手机号码等类型数据防护。</w:t>
            </w:r>
          </w:p>
          <w:p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10、支持Web漏洞扫描功能，可扫描检测网站是否存在SQL注入、XSS、跨站脚本、目录遍历、文件包含、命令执行等脚本漏洞。 </w:t>
            </w:r>
          </w:p>
          <w:p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11、产品内置安全报表模板，可定义报表内容，包括网络整体安全状况、服务器安全风险分析、终端主机安全分析等。</w:t>
            </w:r>
          </w:p>
          <w:p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12、安全规则库支持在线自动升级、手动升级、云端实时升级等多种方式。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13、</w:t>
            </w:r>
            <w:r>
              <w:rPr>
                <w:rFonts w:hint="eastAsia"/>
              </w:rPr>
              <w:t>产品支持终端安全软件联动管理，通过</w:t>
            </w:r>
            <w:r>
              <w:rPr>
                <w:rFonts w:hint="eastAsia"/>
                <w:lang w:val="en-US" w:eastAsia="zh-CN"/>
              </w:rPr>
              <w:t>双向检测系统</w:t>
            </w:r>
            <w:r>
              <w:rPr>
                <w:rFonts w:hint="eastAsia"/>
              </w:rPr>
              <w:t>产品界面完成网络中的终端安全软件的安全策略统一管控，实现终端病毒查杀功能。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>、具备基于国家/地区的流量管理功能，提供具备CNAS（中国合格评定国家认可委员会）资质的第三方权威机构关于“国家/地区的流量管理”功能检测报告；</w:t>
            </w:r>
          </w:p>
          <w:p>
            <w:pPr>
              <w:snapToGrid w:val="0"/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、采用多核并行安全操作系统，能够提高设备处理性能（提供中国信息安全测评中心、公安部信息安全产品检测中心、国家版权局等任一家国家权威机构出具的相关证明材料）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、具备勒索软件通信防护功能，提供具备CNAS（中国合格评定国家认可委员会）资质的第三方权威机构关于“勒索软件通信防护”</w:t>
            </w:r>
            <w:bookmarkStart w:id="0" w:name="_GoBack"/>
            <w:bookmarkEnd w:id="0"/>
            <w:r>
              <w:rPr>
                <w:rFonts w:hint="eastAsia"/>
              </w:rPr>
              <w:t>功能检测报告；</w:t>
            </w:r>
          </w:p>
          <w:p>
            <w:pPr>
              <w:pStyle w:val="2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数量：1套</w:t>
            </w:r>
          </w:p>
        </w:tc>
        <w:tc>
          <w:tcPr>
            <w:tcW w:w="1496" w:type="dxa"/>
          </w:tcPr>
          <w:p>
            <w:pPr>
              <w:spacing w:line="578" w:lineRule="exact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51" w:type="dxa"/>
          </w:tcPr>
          <w:p>
            <w:pPr>
              <w:spacing w:line="578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</w:tbl>
    <w:p>
      <w:pPr>
        <w:spacing w:line="578" w:lineRule="exact"/>
        <w:ind w:firstLine="630"/>
        <w:rPr>
          <w:rFonts w:hint="eastAsia" w:ascii="仿宋_GB2312" w:eastAsia="仿宋_GB2312" w:hAnsiTheme="majorEastAsia"/>
          <w:sz w:val="28"/>
          <w:szCs w:val="28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联系人：               联系电话：</w:t>
      </w: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 w:hAnsiTheme="majorEastAsia"/>
          <w:sz w:val="32"/>
          <w:szCs w:val="32"/>
        </w:rPr>
        <w:t>供应商单位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ajorEastAsia"/>
          <w:sz w:val="32"/>
          <w:szCs w:val="32"/>
        </w:rPr>
        <w:t>加盖公章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6A68"/>
    <w:rsid w:val="05647C74"/>
    <w:rsid w:val="088A5202"/>
    <w:rsid w:val="1AEB1D0E"/>
    <w:rsid w:val="33F91C2E"/>
    <w:rsid w:val="3B0D13A6"/>
    <w:rsid w:val="3E4363A2"/>
    <w:rsid w:val="525461F6"/>
    <w:rsid w:val="555F6FEA"/>
    <w:rsid w:val="5EBB7E59"/>
    <w:rsid w:val="6BEF5C7B"/>
    <w:rsid w:val="735A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2020-11-30T03:16:00Z</dcterms:created>
  <dc:creator>DELL</dc:creator>
  <cp:lastModifiedBy>DELL</cp:lastModifiedBy>
  <dcterms:modified xsi:type="dcterms:W3CDTF">2021-10-18T06:32:30Z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A84F7AD0F24047009A16DA2A03E1896E</vt:lpwstr>
  </property>
</Properties>
</file>